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Fonts w:ascii="黑体" w:hAnsi="黑体" w:eastAsia="黑体" w:cs="方正仿宋简体"/>
          <w:bCs/>
          <w:sz w:val="32"/>
          <w:szCs w:val="32"/>
        </w:rPr>
      </w:pPr>
      <w:r>
        <w:rPr>
          <w:rFonts w:hint="eastAsia" w:ascii="黑体" w:hAnsi="黑体" w:eastAsia="黑体" w:cs="方正仿宋简体"/>
          <w:bCs/>
          <w:sz w:val="32"/>
          <w:szCs w:val="32"/>
        </w:rPr>
        <w:t>附件2</w:t>
      </w:r>
    </w:p>
    <w:p>
      <w:pPr>
        <w:snapToGrid w:val="0"/>
        <w:spacing w:afterLines="100" w:line="560" w:lineRule="exact"/>
        <w:jc w:val="center"/>
        <w:textAlignment w:val="baseline"/>
        <w:rPr>
          <w:rFonts w:ascii="仿宋" w:hAnsi="仿宋" w:eastAsia="仿宋" w:cs="方正仿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44"/>
          <w:szCs w:val="44"/>
        </w:rPr>
        <w:t>“专升本”毕业院校名称及代码表</w:t>
      </w:r>
    </w:p>
    <w:bookmarkEnd w:id="0"/>
    <w:tbl>
      <w:tblPr>
        <w:tblStyle w:val="2"/>
        <w:tblW w:w="73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84"/>
        <w:gridCol w:w="5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32"/>
                <w:szCs w:val="32"/>
              </w:rPr>
              <w:t>代码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kern w:val="0"/>
                <w:sz w:val="32"/>
                <w:szCs w:val="32"/>
              </w:rPr>
              <w:t>院校名称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10667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安顺学院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12821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安顺职业技术学院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14648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毕节工业职业技术学院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14499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毕节医学高等专科学校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14538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毕节幼儿师范高等专科学校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14198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毕节职业技术学院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14083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贵阳护理职业学院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10976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贵阳学院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14469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贵阳幼儿师范高等专科学校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14129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贵阳职业技术学院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10671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贵州财经大学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12850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贵州城市职业学院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14580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贵州电子科技职业学院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14578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贵州电子商务职业技术学院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12336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贵州电子信息职业技术学院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14558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14559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贵州工贸职业学院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14412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贵州工商职业学院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13052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50963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贵州航空职业技术学院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12223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贵州航天职业技术学院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贵州护理职业技术学院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14516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贵州建设职业技术学院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贵州健康职业学院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12222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贵州交通职业技术学院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贵州经贸职业技术学院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12107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贵州警察学院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14549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贵州农业职业学院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13818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贵州轻工职业技术学院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11731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14371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贵州盛华职业学院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14615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贵州食品工程职业学院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14577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贵州水利水电职业技术学院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14579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贵州应用技术职业学院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14252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14613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贵州装备制造职业学院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10669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凯里学院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10977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六盘水师范学院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14630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六盘水幼儿师范高等专科学校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13054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六盘水职业技术学院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12822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黔东南民族职业技术学院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11663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黔南民族医学高等专科学校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14497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黔南民族幼儿师范高等专科学校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12823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13817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黔西南民族职业技术学院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14470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铜仁幼儿师范高等专科学校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13055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铜仁职业技术学院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10666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兴义民族师范学院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10664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遵义师范学院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14011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遵义医药高等专科学校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12824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遵义职业技术学院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5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32"/>
                <w:szCs w:val="32"/>
              </w:rPr>
              <w:t>备  注：毕业院校代码为院校国标码。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4610"/>
    <w:rsid w:val="54C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Pluto＇</cp:lastModifiedBy>
  <dcterms:modified xsi:type="dcterms:W3CDTF">2021-01-28T08:37:16Z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